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3577">
      <w:pPr>
        <w:pStyle w:val="2"/>
        <w:spacing w:line="276" w:lineRule="auto"/>
        <w:divId w:val="968970628"/>
        <w:rPr>
          <w:rFonts w:eastAsia="Times New Roman"/>
        </w:rPr>
      </w:pPr>
      <w:r>
        <w:rPr>
          <w:rFonts w:eastAsia="Times New Roman"/>
        </w:rPr>
        <w:t>10 популярных вопросов экспертам в октябре</w:t>
      </w:r>
    </w:p>
    <w:p w:rsidR="00000000" w:rsidRDefault="00DC3577">
      <w:pPr>
        <w:pStyle w:val="a5"/>
        <w:spacing w:line="276" w:lineRule="auto"/>
        <w:divId w:val="784009144"/>
      </w:pPr>
      <w:r>
        <w:rPr>
          <w:rStyle w:val="a6"/>
        </w:rPr>
        <w:t>1. Нужно ли водителю грузового автомобиля проводить инструктаж по транспортной безопасности</w:t>
      </w:r>
      <w:r>
        <w:rPr>
          <w:rStyle w:val="a6"/>
        </w:rPr>
        <w:t>?</w:t>
      </w:r>
    </w:p>
    <w:p w:rsidR="00000000" w:rsidRDefault="00DC3577">
      <w:pPr>
        <w:pStyle w:val="a5"/>
        <w:spacing w:line="276" w:lineRule="auto"/>
        <w:divId w:val="784009144"/>
      </w:pPr>
      <w:r>
        <w:t>Нет, не нужно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t>Водителю грузового автомобиля не требуется инструктаж по транспортной безопасности. Данный инструктаж пров</w:t>
      </w:r>
      <w:r>
        <w:t xml:space="preserve">одят для экипажей автобусов, троллейбусов, трамваев и другого общественного транспорта частных и государственных перевозчиков </w:t>
      </w:r>
      <w:r>
        <w:t>(</w:t>
      </w:r>
      <w:hyperlink r:id="rId5" w:anchor="/document/99/1306089268/XA00M2O2MP/" w:tgtFrame="_self" w:tooltip="" w:history="1">
        <w:r>
          <w:rPr>
            <w:rStyle w:val="a3"/>
          </w:rPr>
          <w:t>п. 1 Порядка инструктажа по транспо</w:t>
        </w:r>
        <w:r>
          <w:rPr>
            <w:rStyle w:val="a3"/>
          </w:rPr>
          <w:t>ртной безопасности № 167</w:t>
        </w:r>
      </w:hyperlink>
      <w:r>
        <w:t>)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rPr>
          <w:rStyle w:val="a6"/>
        </w:rPr>
        <w:t>2. Можно ли закупать СИЗ у иностранного производите</w:t>
      </w:r>
      <w:r>
        <w:rPr>
          <w:rStyle w:val="a6"/>
        </w:rPr>
        <w:t>ля, если он не является членом Евразийского экономического союза</w:t>
      </w:r>
      <w:r>
        <w:rPr>
          <w:rStyle w:val="a6"/>
        </w:rPr>
        <w:t>?</w:t>
      </w:r>
    </w:p>
    <w:p w:rsidR="00000000" w:rsidRDefault="00DC3577">
      <w:pPr>
        <w:pStyle w:val="a5"/>
        <w:spacing w:line="276" w:lineRule="auto"/>
        <w:divId w:val="784009144"/>
      </w:pPr>
      <w:r>
        <w:t>Нет, нельзя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t xml:space="preserve">Приобрести СИЗ у иностранного производителя, который не является членом ЕАЭС, нельзя. Работодатель обязан обеспечить работников средствами индивидуальной защиты, которые прошли </w:t>
      </w:r>
      <w:r>
        <w:t xml:space="preserve">подтверждение соответствия </w:t>
      </w:r>
      <w:r>
        <w:t>(</w:t>
      </w:r>
      <w:hyperlink r:id="rId6" w:anchor="/document/99/727092798/XA00M5Q2MD/" w:tgtFrame="_self" w:tooltip="" w:history="1">
        <w:r>
          <w:rPr>
            <w:rStyle w:val="a3"/>
          </w:rPr>
          <w:t>п. 4 Правил обеспечения работников СИЗ</w:t>
        </w:r>
      </w:hyperlink>
      <w:r>
        <w:t>,</w:t>
      </w:r>
      <w:r>
        <w:t xml:space="preserve"> </w:t>
      </w:r>
      <w:hyperlink r:id="rId7" w:anchor="/document/99/578370345/ZAP2CJ03GB/" w:tgtFrame="_self" w:tooltip="" w:history="1">
        <w:r>
          <w:rPr>
            <w:rStyle w:val="a3"/>
          </w:rPr>
          <w:t>ст</w:t>
        </w:r>
        <w:r>
          <w:rPr>
            <w:rStyle w:val="a3"/>
          </w:rPr>
          <w:t>. 221 ТК</w:t>
        </w:r>
      </w:hyperlink>
      <w:r>
        <w:t>). Процедура проходит в соответствии с</w:t>
      </w:r>
      <w:r>
        <w:t xml:space="preserve"> </w:t>
      </w:r>
      <w:hyperlink r:id="rId8" w:anchor="/document/99/902320567/" w:tgtFrame="_self" w:tooltip="" w:history="1">
        <w:r>
          <w:rPr>
            <w:rStyle w:val="a3"/>
          </w:rPr>
          <w:t xml:space="preserve">Техническим регламентом от 09.12.2011 № </w:t>
        </w:r>
        <w:proofErr w:type="gramStart"/>
        <w:r>
          <w:rPr>
            <w:rStyle w:val="a3"/>
          </w:rPr>
          <w:t>ТР</w:t>
        </w:r>
        <w:proofErr w:type="gramEnd"/>
        <w:r>
          <w:rPr>
            <w:rStyle w:val="a3"/>
          </w:rPr>
          <w:t xml:space="preserve"> ТС 019/2011</w:t>
        </w:r>
      </w:hyperlink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rPr>
          <w:rStyle w:val="a6"/>
        </w:rPr>
        <w:t>3</w:t>
      </w:r>
      <w:r>
        <w:rPr>
          <w:rStyle w:val="a6"/>
        </w:rPr>
        <w:t>.</w:t>
      </w:r>
      <w:r>
        <w:rPr>
          <w:rStyle w:val="a6"/>
        </w:rPr>
        <w:t xml:space="preserve"> Требуется ли пересмотр инструкции </w:t>
      </w:r>
      <w:proofErr w:type="gramStart"/>
      <w:r>
        <w:rPr>
          <w:rStyle w:val="a6"/>
        </w:rPr>
        <w:t>по</w:t>
      </w:r>
      <w:proofErr w:type="gramEnd"/>
      <w:r>
        <w:rPr>
          <w:rStyle w:val="a6"/>
        </w:rPr>
        <w:t xml:space="preserve"> </w:t>
      </w:r>
      <w:proofErr w:type="gramStart"/>
      <w:r>
        <w:rPr>
          <w:rStyle w:val="a6"/>
        </w:rPr>
        <w:t>ОТ</w:t>
      </w:r>
      <w:proofErr w:type="gramEnd"/>
      <w:r>
        <w:rPr>
          <w:rStyle w:val="a6"/>
        </w:rPr>
        <w:t xml:space="preserve"> после легкого несчастного случая</w:t>
      </w:r>
      <w:r>
        <w:rPr>
          <w:rStyle w:val="a6"/>
        </w:rPr>
        <w:t>?</w:t>
      </w:r>
    </w:p>
    <w:p w:rsidR="00000000" w:rsidRDefault="00DC3577">
      <w:pPr>
        <w:pStyle w:val="a5"/>
        <w:spacing w:line="276" w:lineRule="auto"/>
        <w:divId w:val="784009144"/>
      </w:pPr>
      <w:r>
        <w:t>Пересмотр инст</w:t>
      </w:r>
      <w:r>
        <w:t xml:space="preserve">рукции по охране труда после легкого несчастного случая потребуется в двух случаях (подп. </w:t>
      </w:r>
      <w:r>
        <w:t>«</w:t>
      </w:r>
      <w:hyperlink r:id="rId9" w:anchor="/document/99/727092794/XA00MD62NP/" w:tgtFrame="_self" w:tooltip="" w:history="1">
        <w:r>
          <w:rPr>
            <w:rStyle w:val="a3"/>
          </w:rPr>
          <w:t>в</w:t>
        </w:r>
      </w:hyperlink>
      <w:r>
        <w:t xml:space="preserve">», </w:t>
      </w:r>
      <w:r>
        <w:t>«</w:t>
      </w:r>
      <w:hyperlink r:id="rId10" w:anchor="/document/99/727092794/XA00MDO2NS/" w:tgtFrame="_self" w:tooltip="" w:history="1">
        <w:proofErr w:type="gramStart"/>
        <w:r>
          <w:rPr>
            <w:rStyle w:val="a3"/>
          </w:rPr>
          <w:t>г</w:t>
        </w:r>
        <w:proofErr w:type="gramEnd"/>
      </w:hyperlink>
      <w:r>
        <w:t>» п. 30 приказа Минтруда от 29.10.2021 № 772н)</w:t>
      </w:r>
      <w:r>
        <w:t>:</w:t>
      </w:r>
    </w:p>
    <w:p w:rsidR="00000000" w:rsidRDefault="00DC3577" w:rsidP="00FB407D">
      <w:pPr>
        <w:pStyle w:val="a5"/>
        <w:spacing w:before="0" w:beforeAutospacing="0" w:after="0" w:afterAutospacing="0" w:line="276" w:lineRule="auto"/>
        <w:divId w:val="784009144"/>
      </w:pPr>
      <w:r>
        <w:t>1. Инспектор ГИТ обяжет работодателя пересмотреть инструкцию после несчастного случая</w:t>
      </w:r>
      <w:r>
        <w:t>.</w:t>
      </w:r>
    </w:p>
    <w:p w:rsidR="00000000" w:rsidRDefault="00DC3577" w:rsidP="00FB407D">
      <w:pPr>
        <w:pStyle w:val="a5"/>
        <w:spacing w:before="0" w:beforeAutospacing="0" w:after="0" w:afterAutospacing="0" w:line="276" w:lineRule="auto"/>
        <w:divId w:val="784009144"/>
      </w:pPr>
      <w:r>
        <w:t>2. Работодатель самостоятел</w:t>
      </w:r>
      <w:r>
        <w:t>ьно примет решение об актуализации инструкции после того, как проанализирует материалы расследования несчастного случая и поймет, что в ИОТ не учтены все требования или содержится мало информации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rPr>
          <w:rStyle w:val="a6"/>
        </w:rPr>
        <w:t>4. Как можно обосновать некорректное заполнение журнала инструктажей на рабочем месте руководителем подразделения, например не в хронологическом порядк</w:t>
      </w:r>
      <w:r>
        <w:rPr>
          <w:rStyle w:val="a6"/>
        </w:rPr>
        <w:t>е</w:t>
      </w:r>
      <w:r>
        <w:rPr>
          <w:rStyle w:val="a6"/>
        </w:rPr>
        <w:t>?</w:t>
      </w:r>
    </w:p>
    <w:p w:rsidR="00000000" w:rsidRDefault="00DC3577">
      <w:pPr>
        <w:pStyle w:val="a5"/>
        <w:spacing w:line="276" w:lineRule="auto"/>
        <w:divId w:val="784009144"/>
      </w:pPr>
      <w:r>
        <w:t>Чтобы обосновать некорректное заполнение журнала инструктажей на рабочем месте, работодатель самостоятельно разрабатывает ЛНА, в котором указывает порядок и форму регистрации инструктажей по охране труда </w:t>
      </w:r>
      <w:r>
        <w:t>(</w:t>
      </w:r>
      <w:hyperlink r:id="rId11" w:anchor="/document/99/727688582/XA00MCU2N4/" w:tgtFrame="_self" w:tooltip="" w:history="1">
        <w:r>
          <w:rPr>
            <w:rStyle w:val="a3"/>
          </w:rPr>
          <w:t>п. 88 Порядка обучения № 2464</w:t>
        </w:r>
      </w:hyperlink>
      <w:r>
        <w:t xml:space="preserve">). Разработайте документ, чтобы заполнять журналы </w:t>
      </w:r>
      <w:proofErr w:type="spellStart"/>
      <w:r>
        <w:t>регламентиро</w:t>
      </w:r>
      <w:r>
        <w:t>в</w:t>
      </w:r>
      <w:r>
        <w:t>анно</w:t>
      </w:r>
      <w:proofErr w:type="spellEnd"/>
      <w:r>
        <w:t xml:space="preserve">, и ознакомьте </w:t>
      </w:r>
      <w:proofErr w:type="gramStart"/>
      <w:r>
        <w:t>ответственных</w:t>
      </w:r>
      <w:proofErr w:type="gramEnd"/>
      <w:r>
        <w:t xml:space="preserve"> за инструктажи с порядком заполнения журнала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rPr>
          <w:rStyle w:val="a6"/>
        </w:rPr>
        <w:t>5. Может ли работник во время смены в цехе слушать музыку в своих наушниках</w:t>
      </w:r>
      <w:r>
        <w:rPr>
          <w:rStyle w:val="a6"/>
        </w:rPr>
        <w:t>?</w:t>
      </w:r>
    </w:p>
    <w:p w:rsidR="00000000" w:rsidRDefault="00DC3577">
      <w:pPr>
        <w:pStyle w:val="a5"/>
        <w:spacing w:line="276" w:lineRule="auto"/>
        <w:divId w:val="784009144"/>
      </w:pPr>
      <w:r>
        <w:t>Прослушивание музыки сотрудником через наушники в рабочее время </w:t>
      </w:r>
      <w:r>
        <w:t xml:space="preserve">законодательно не регламентировано. </w:t>
      </w:r>
      <w:proofErr w:type="gramStart"/>
      <w:r>
        <w:t xml:space="preserve">Если работник использует свои музыкальные наушники вместо СИЗ, которые положены ему по нормам работодателя, он нарушает свои обязанности </w:t>
      </w:r>
      <w:r>
        <w:t>(</w:t>
      </w:r>
      <w:hyperlink r:id="rId12" w:anchor="/document/99/578370345/XA00MDE2N8/" w:tgtFrame="_self" w:tooltip="" w:history="1">
        <w:r>
          <w:rPr>
            <w:rStyle w:val="a3"/>
          </w:rPr>
          <w:t>ст. 215 ТК</w:t>
        </w:r>
      </w:hyperlink>
      <w:r>
        <w:t>).</w:t>
      </w:r>
      <w:proofErr w:type="gramEnd"/>
      <w:r>
        <w:t xml:space="preserve"> Если же работник слушает музыку для «развлечения», рекомендуем выпустить ЛНА, который </w:t>
      </w:r>
      <w:r>
        <w:lastRenderedPageBreak/>
        <w:t>запрещает использование личных наушников, так как это препятствует обеспечению безопасности при осуществлении технологических процессов и может сп</w:t>
      </w:r>
      <w:r>
        <w:t>ровоцировать наступление аварийных ситуаций </w:t>
      </w:r>
      <w:r>
        <w:t>(</w:t>
      </w:r>
      <w:hyperlink r:id="rId13" w:anchor="/document/99/578370345/XA00MCS2N5/" w:tgtFrame="_self" w:tooltip="" w:history="1">
        <w:r>
          <w:rPr>
            <w:rStyle w:val="a3"/>
          </w:rPr>
          <w:t>ст. 214 ТК</w:t>
        </w:r>
      </w:hyperlink>
      <w:r>
        <w:t>). После издания такого документа внесите соответствующий пункт в инструкции по охране труда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rPr>
          <w:rStyle w:val="a6"/>
        </w:rPr>
        <w:t>6.</w:t>
      </w:r>
      <w:r>
        <w:rPr>
          <w:rStyle w:val="a6"/>
        </w:rPr>
        <w:t xml:space="preserve"> </w:t>
      </w:r>
      <w:r>
        <w:rPr>
          <w:rStyle w:val="a6"/>
        </w:rPr>
        <w:t>Нужн</w:t>
      </w:r>
      <w:r>
        <w:rPr>
          <w:rStyle w:val="a6"/>
        </w:rPr>
        <w:t>о</w:t>
      </w:r>
      <w:r>
        <w:rPr>
          <w:rStyle w:val="a6"/>
        </w:rPr>
        <w:t xml:space="preserve"> ли отправлять работников на медосмотр, если изменились условия труда по результатам СОУТ, </w:t>
      </w:r>
      <w:proofErr w:type="gramStart"/>
      <w:r>
        <w:rPr>
          <w:rStyle w:val="a6"/>
        </w:rPr>
        <w:t>например</w:t>
      </w:r>
      <w:proofErr w:type="gramEnd"/>
      <w:r>
        <w:rPr>
          <w:rStyle w:val="a6"/>
        </w:rPr>
        <w:t xml:space="preserve"> появили</w:t>
      </w:r>
      <w:r>
        <w:rPr>
          <w:rStyle w:val="a6"/>
        </w:rPr>
        <w:t>сь новые вредные факторы</w:t>
      </w:r>
      <w:r>
        <w:rPr>
          <w:rStyle w:val="a6"/>
        </w:rPr>
        <w:t>?</w:t>
      </w:r>
    </w:p>
    <w:p w:rsidR="00000000" w:rsidRDefault="00DC3577">
      <w:pPr>
        <w:pStyle w:val="a5"/>
        <w:spacing w:line="276" w:lineRule="auto"/>
        <w:divId w:val="784009144"/>
      </w:pPr>
      <w:r>
        <w:t>Да, нужно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t xml:space="preserve">Если по результатам </w:t>
      </w:r>
      <w:proofErr w:type="spellStart"/>
      <w:r>
        <w:t>спецоценки</w:t>
      </w:r>
      <w:proofErr w:type="spellEnd"/>
      <w:r>
        <w:t xml:space="preserve"> на рабочем месте выявили новые вредные или опасные производственные факторы, работодатель направляет сотрудника на первичный медицинский осмотр и далее на периодические </w:t>
      </w:r>
      <w:r>
        <w:t>(</w:t>
      </w:r>
      <w:hyperlink r:id="rId14" w:anchor="/document/99/573473070/XA00LVA2M9/" w:tgtFrame="_self" w:tooltip="" w:history="1">
        <w:r>
          <w:rPr>
            <w:rStyle w:val="a3"/>
          </w:rPr>
          <w:t>п. 1 Порядка проведения медосмотров № 29н</w:t>
        </w:r>
      </w:hyperlink>
      <w:r>
        <w:t>).</w:t>
      </w:r>
      <w:r>
        <w:t> </w:t>
      </w:r>
    </w:p>
    <w:p w:rsidR="00000000" w:rsidRDefault="00DC3577">
      <w:pPr>
        <w:pStyle w:val="a5"/>
        <w:spacing w:line="276" w:lineRule="auto"/>
        <w:divId w:val="784009144"/>
      </w:pPr>
      <w:r>
        <w:t>Сроки проведения первичного медосмотра в такой ситуации не установлены. Рекомендуем провести его оперативно, чтобы как можно скорее выяв</w:t>
      </w:r>
      <w:r>
        <w:t xml:space="preserve">ить работников, у которых могут быть противопоказания. Работодатель обязан отстранить от работы таких сотрудников, пока они не пройдут медосмотр </w:t>
      </w:r>
      <w:r>
        <w:t>(</w:t>
      </w:r>
      <w:hyperlink r:id="rId15" w:anchor="/document/99/578370345/XA00MDO2NS/" w:tgtFrame="_self" w:tooltip="" w:history="1">
        <w:r>
          <w:rPr>
            <w:rStyle w:val="a3"/>
          </w:rPr>
          <w:t>ст. 76 ТК</w:t>
        </w:r>
      </w:hyperlink>
      <w:r>
        <w:t>)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rPr>
          <w:rStyle w:val="a6"/>
        </w:rPr>
        <w:t>7. Кого можно назначить председателем комиссии по СОУТ</w:t>
      </w:r>
      <w:r>
        <w:rPr>
          <w:rStyle w:val="a6"/>
        </w:rPr>
        <w:t>?</w:t>
      </w:r>
    </w:p>
    <w:p w:rsidR="00000000" w:rsidRDefault="00DC3577">
      <w:pPr>
        <w:pStyle w:val="a5"/>
        <w:spacing w:line="276" w:lineRule="auto"/>
        <w:divId w:val="784009144"/>
      </w:pPr>
      <w:r>
        <w:t>Требований к пр</w:t>
      </w:r>
      <w:r>
        <w:t xml:space="preserve">едседателю комиссии по </w:t>
      </w:r>
      <w:proofErr w:type="spellStart"/>
      <w:r>
        <w:t>спецоценке</w:t>
      </w:r>
      <w:proofErr w:type="spellEnd"/>
      <w:r>
        <w:t xml:space="preserve"> законодательно не установлено. Работодатель самостоятельно определяет председателя и состав комиссии (ч.</w:t>
      </w:r>
      <w:r>
        <w:t xml:space="preserve"> </w:t>
      </w:r>
      <w:hyperlink r:id="rId16" w:anchor="/document/99/499067392/XA00M362MC/" w:tgtFrame="_self" w:tooltip="" w:history="1">
        <w:r>
          <w:rPr>
            <w:rStyle w:val="a3"/>
          </w:rPr>
          <w:t>2</w:t>
        </w:r>
      </w:hyperlink>
      <w:r>
        <w:t>,</w:t>
      </w:r>
      <w:r>
        <w:t xml:space="preserve"> </w:t>
      </w:r>
      <w:hyperlink r:id="rId17" w:anchor="/document/99/499067392/XA00M4A2MI/" w:tgtFrame="_self" w:tooltip="" w:history="1">
        <w:r>
          <w:rPr>
            <w:rStyle w:val="a3"/>
          </w:rPr>
          <w:t>4</w:t>
        </w:r>
      </w:hyperlink>
      <w:r>
        <w:t> ст. 9 Закона № 426-Ф</w:t>
      </w:r>
      <w:r>
        <w:t>З</w:t>
      </w:r>
      <w:r>
        <w:t>). Председателем комиссии может быть, например, генеральный директор, его заместитель или главный инженер</w:t>
      </w:r>
      <w:r>
        <w:t>.</w:t>
      </w:r>
      <w:r>
        <w:t> Количество членов комиссии, включ</w:t>
      </w:r>
      <w:r>
        <w:t>ая председателя, должно быть нечетным </w:t>
      </w:r>
      <w:r>
        <w:t>(</w:t>
      </w:r>
      <w:hyperlink r:id="rId18" w:anchor="/document/99/499067392/XA00M4A2MI/" w:tgtFrame="_self" w:tooltip="" w:history="1">
        <w:r>
          <w:rPr>
            <w:rStyle w:val="a3"/>
          </w:rPr>
          <w:t>ч. 1 ст. 9 Закона № 426-ФЗ</w:t>
        </w:r>
      </w:hyperlink>
      <w:r>
        <w:t>)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rPr>
          <w:rStyle w:val="a6"/>
        </w:rPr>
        <w:t>8. Надо ли обеспечить аптечкой каждый погрузчик, который передвигается только внутри производственной территории</w:t>
      </w:r>
      <w:r>
        <w:rPr>
          <w:rStyle w:val="a6"/>
        </w:rPr>
        <w:t>?</w:t>
      </w:r>
    </w:p>
    <w:p w:rsidR="00000000" w:rsidRDefault="00DC3577">
      <w:pPr>
        <w:pStyle w:val="a5"/>
        <w:spacing w:line="276" w:lineRule="auto"/>
        <w:divId w:val="784009144"/>
      </w:pPr>
      <w:r>
        <w:t>Нет, не надо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t>Работодат</w:t>
      </w:r>
      <w:r>
        <w:t xml:space="preserve">ель не обязан комплектовать аптечки для каждого погрузчика, который передвигается только внутри производственной территории </w:t>
      </w:r>
      <w:r>
        <w:t>(</w:t>
      </w:r>
      <w:hyperlink r:id="rId19" w:anchor="/document/99/573041261/XA00M7M2N8/" w:tgtFrame="_self" w:tooltip="" w:history="1">
        <w:r>
          <w:rPr>
            <w:rStyle w:val="a3"/>
          </w:rPr>
          <w:t>п. 66 Правил № 814н</w:t>
        </w:r>
      </w:hyperlink>
      <w:r>
        <w:t>). Расположите апте</w:t>
      </w:r>
      <w:r>
        <w:t>чки на санитарных постах в производственных помещениях</w:t>
      </w:r>
      <w:r>
        <w:t>.</w:t>
      </w:r>
    </w:p>
    <w:p w:rsidR="00000000" w:rsidRDefault="00DC3577">
      <w:pPr>
        <w:pStyle w:val="a5"/>
        <w:spacing w:line="276" w:lineRule="auto"/>
        <w:divId w:val="784009144"/>
      </w:pPr>
      <w:r>
        <w:rPr>
          <w:rStyle w:val="a6"/>
        </w:rPr>
        <w:t>9. В каком порядке подписыв</w:t>
      </w:r>
      <w:r>
        <w:rPr>
          <w:rStyle w:val="a6"/>
        </w:rPr>
        <w:t xml:space="preserve">ают протокол </w:t>
      </w:r>
      <w:proofErr w:type="gramStart"/>
      <w:r>
        <w:rPr>
          <w:rStyle w:val="a6"/>
        </w:rPr>
        <w:t>проверки знаний требований охраны труда</w:t>
      </w:r>
      <w:proofErr w:type="gramEnd"/>
      <w:r>
        <w:rPr>
          <w:rStyle w:val="a6"/>
        </w:rPr>
        <w:t>?</w:t>
      </w:r>
    </w:p>
    <w:p w:rsidR="00000000" w:rsidRDefault="00DC3577">
      <w:pPr>
        <w:pStyle w:val="a5"/>
        <w:spacing w:line="276" w:lineRule="auto"/>
        <w:divId w:val="784009144"/>
      </w:pPr>
      <w:r>
        <w:t xml:space="preserve">Порядок </w:t>
      </w:r>
      <w:proofErr w:type="gramStart"/>
      <w:r>
        <w:t>подписания протокола проверки знаний требований охраны труда</w:t>
      </w:r>
      <w:proofErr w:type="gramEnd"/>
      <w:r>
        <w:t xml:space="preserve"> законодательно не регламентируется (п.</w:t>
      </w:r>
      <w:r>
        <w:t xml:space="preserve"> </w:t>
      </w:r>
      <w:hyperlink r:id="rId20" w:anchor="/document/99/727688582/XA00MDE2N6/" w:tgtFrame="_self" w:tooltip="" w:history="1">
        <w:r>
          <w:rPr>
            <w:rStyle w:val="a3"/>
          </w:rPr>
          <w:t>9</w:t>
        </w:r>
        <w:r>
          <w:rPr>
            <w:rStyle w:val="a3"/>
          </w:rPr>
          <w:t>2</w:t>
        </w:r>
      </w:hyperlink>
      <w:r>
        <w:t>,</w:t>
      </w:r>
      <w:r>
        <w:t xml:space="preserve"> </w:t>
      </w:r>
      <w:hyperlink r:id="rId21" w:anchor="/document/99/727688582/XA00MEG2NB/" w:tgtFrame="_self" w:tooltip="" w:history="1">
        <w:r>
          <w:rPr>
            <w:rStyle w:val="a3"/>
          </w:rPr>
          <w:t>93</w:t>
        </w:r>
      </w:hyperlink>
      <w:r>
        <w:t xml:space="preserve"> Порядка обучения № 2464). Подпишите протокол в любой очередности, это не будет являться нарушением</w:t>
      </w:r>
      <w:r>
        <w:t>.</w:t>
      </w:r>
    </w:p>
    <w:p w:rsidR="00000000" w:rsidRDefault="00DC3577" w:rsidP="00FB407D">
      <w:pPr>
        <w:pStyle w:val="a5"/>
        <w:spacing w:before="0" w:beforeAutospacing="0" w:after="0" w:afterAutospacing="0" w:line="276" w:lineRule="auto"/>
        <w:divId w:val="784009144"/>
      </w:pPr>
      <w:r>
        <w:rPr>
          <w:rStyle w:val="a6"/>
        </w:rPr>
        <w:t>10. Как правильно оформить инструктажи по охране труда работнику, который ранее был освобожден от их пр</w:t>
      </w:r>
      <w:r>
        <w:rPr>
          <w:rStyle w:val="a6"/>
        </w:rPr>
        <w:t>охождения</w:t>
      </w:r>
      <w:r>
        <w:rPr>
          <w:rStyle w:val="a6"/>
        </w:rPr>
        <w:t>?</w:t>
      </w:r>
    </w:p>
    <w:p w:rsidR="00DC3577" w:rsidRPr="00FB407D" w:rsidRDefault="00DC3577" w:rsidP="00FB407D">
      <w:pPr>
        <w:pStyle w:val="a5"/>
        <w:spacing w:before="0" w:beforeAutospacing="0" w:after="0" w:afterAutospacing="0" w:line="276" w:lineRule="auto"/>
        <w:ind w:right="3"/>
        <w:divId w:val="784009144"/>
      </w:pPr>
      <w:r>
        <w:t xml:space="preserve">Работнику, который ранее был освобожден от прохождения инструктажей по охране труда, проводят первичный инструктаж на рабочем месте </w:t>
      </w:r>
      <w:r>
        <w:t>(</w:t>
      </w:r>
      <w:hyperlink r:id="rId22" w:anchor="/document/99/727688582/XA00M7U2MN/" w:tgtFrame="_self" w:tooltip="" w:history="1">
        <w:r>
          <w:rPr>
            <w:rStyle w:val="a3"/>
          </w:rPr>
          <w:t>п. 13 Порядка обуче</w:t>
        </w:r>
        <w:r>
          <w:rPr>
            <w:rStyle w:val="a3"/>
          </w:rPr>
          <w:t>ния № 2464</w:t>
        </w:r>
      </w:hyperlink>
      <w:r>
        <w:t xml:space="preserve">). Далее не реже одного раза в полгода проводят повторный инструктаж </w:t>
      </w:r>
      <w:r>
        <w:t>(</w:t>
      </w:r>
      <w:hyperlink r:id="rId23" w:anchor="/document/99/727688582/XA00M8G2MQ/" w:tgtFrame="_self" w:tooltip="" w:history="1">
        <w:r>
          <w:rPr>
            <w:rStyle w:val="a3"/>
          </w:rPr>
          <w:t>п. 14 Порядка обучения № 2464</w:t>
        </w:r>
      </w:hyperlink>
      <w:r>
        <w:t xml:space="preserve">). Порядок и форму регистрации проведения инструктажа </w:t>
      </w:r>
      <w:r>
        <w:t xml:space="preserve">работодатель определяет самостоятельно </w:t>
      </w:r>
      <w:r>
        <w:t>(</w:t>
      </w:r>
      <w:hyperlink r:id="rId24" w:anchor="/document/99/727688582/XA00MCU2N4/" w:tgtFrame="_self" w:tooltip="" w:history="1">
        <w:r>
          <w:rPr>
            <w:rStyle w:val="a3"/>
          </w:rPr>
          <w:t>п. 88 Порядка обучения № 2464</w:t>
        </w:r>
      </w:hyperlink>
      <w:r>
        <w:t>)</w:t>
      </w:r>
      <w:r>
        <w:t>.</w:t>
      </w:r>
      <w:bookmarkStart w:id="0" w:name="_GoBack"/>
      <w:bookmarkEnd w:id="0"/>
    </w:p>
    <w:sectPr w:rsidR="00DC3577" w:rsidRPr="00FB407D" w:rsidSect="00FB407D">
      <w:pgSz w:w="11906" w:h="16838"/>
      <w:pgMar w:top="851" w:right="425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407D"/>
    <w:rsid w:val="00DC3577"/>
    <w:rsid w:val="00F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40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07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40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07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062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14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7086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Дамашева Светлана Геннадьевн</dc:creator>
  <cp:lastModifiedBy>Дамашева Светлана Геннадьевн</cp:lastModifiedBy>
  <cp:revision>2</cp:revision>
  <dcterms:created xsi:type="dcterms:W3CDTF">2024-12-27T06:34:00Z</dcterms:created>
  <dcterms:modified xsi:type="dcterms:W3CDTF">2024-12-27T06:34:00Z</dcterms:modified>
</cp:coreProperties>
</file>