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1E84">
      <w:pPr>
        <w:pStyle w:val="2"/>
        <w:spacing w:line="276" w:lineRule="auto"/>
        <w:divId w:val="42490717"/>
        <w:rPr>
          <w:rFonts w:eastAsia="Times New Roman"/>
        </w:rPr>
      </w:pPr>
      <w:r>
        <w:rPr>
          <w:rFonts w:eastAsia="Times New Roman"/>
        </w:rPr>
        <w:t>10 популярных вопросов экспертам в марте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1. Можно ли на время испытательного срока выдать работнику дежурные СИЗ, а после – индивидуальный комплект?</w:t>
      </w:r>
    </w:p>
    <w:p w:rsidR="00000000" w:rsidRDefault="007B1E84">
      <w:pPr>
        <w:pStyle w:val="a5"/>
        <w:spacing w:line="276" w:lineRule="auto"/>
        <w:divId w:val="718482949"/>
      </w:pPr>
      <w:r>
        <w:t>Нет, нельзя.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Работодатель не может заменить индивидуальный комплект СИЗ на </w:t>
      </w:r>
      <w:proofErr w:type="gramStart"/>
      <w:r>
        <w:t>дежурный</w:t>
      </w:r>
      <w:proofErr w:type="gramEnd"/>
      <w:r>
        <w:t xml:space="preserve"> на время испытательног</w:t>
      </w:r>
      <w:r>
        <w:t xml:space="preserve">о срока работника. Дежурные </w:t>
      </w:r>
      <w:proofErr w:type="gramStart"/>
      <w:r>
        <w:t>СИЗ</w:t>
      </w:r>
      <w:proofErr w:type="gramEnd"/>
      <w:r>
        <w:t xml:space="preserve"> предназначены для конкретного вида работ не на постоянной основе, например страховочная привязь при работах на высоте </w:t>
      </w:r>
      <w:r>
        <w:t>(</w:t>
      </w:r>
      <w:hyperlink r:id="rId6" w:anchor="/document/99/727092798/XA00MBM2NF/" w:tgtFrame="_self" w:tooltip="" w:history="1">
        <w:r>
          <w:rPr>
            <w:rStyle w:val="a3"/>
          </w:rPr>
          <w:t>п. 32 Правил</w:t>
        </w:r>
        <w:r>
          <w:rPr>
            <w:rStyle w:val="a3"/>
          </w:rPr>
          <w:t xml:space="preserve"> № 766н</w:t>
        </w:r>
      </w:hyperlink>
      <w:r>
        <w:t>).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2. Должен ли подрядчик проводить противопожарные инструктажи работникам субподрядчика?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Нет, не </w:t>
      </w:r>
      <w:r>
        <w:t>должен.</w:t>
      </w:r>
    </w:p>
    <w:p w:rsidR="00000000" w:rsidRDefault="007B1E84">
      <w:pPr>
        <w:pStyle w:val="a5"/>
        <w:spacing w:line="276" w:lineRule="auto"/>
        <w:divId w:val="718482949"/>
      </w:pPr>
      <w:r>
        <w:t>Подрядчик не обязан проводить противопожарные инструктажи работникам субподрядчика. Противопожарные инструктажи проводят (п.</w:t>
      </w:r>
      <w:r>
        <w:t xml:space="preserve"> </w:t>
      </w:r>
      <w:hyperlink r:id="rId7" w:anchor="/document/99/727122310/XA00M902N2/" w:tgtFrame="_self" w:tooltip="" w:history="1">
        <w:r>
          <w:rPr>
            <w:rStyle w:val="a3"/>
          </w:rPr>
          <w:t>13</w:t>
        </w:r>
      </w:hyperlink>
      <w:r>
        <w:t>,</w:t>
      </w:r>
      <w:r>
        <w:t xml:space="preserve"> </w:t>
      </w:r>
      <w:hyperlink r:id="rId8" w:anchor="/document/99/727122310/XA00M9I2N5/" w:tgtFrame="_self" w:tooltip="" w:history="1">
        <w:r>
          <w:rPr>
            <w:rStyle w:val="a3"/>
          </w:rPr>
          <w:t>14</w:t>
        </w:r>
      </w:hyperlink>
      <w:r>
        <w:t xml:space="preserve"> Порядка № 806):</w:t>
      </w:r>
    </w:p>
    <w:p w:rsidR="00000000" w:rsidRDefault="007B1E84">
      <w:pPr>
        <w:numPr>
          <w:ilvl w:val="0"/>
          <w:numId w:val="1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с вновь принятыми работниками;</w:t>
      </w:r>
    </w:p>
    <w:p w:rsidR="00000000" w:rsidRDefault="007B1E84">
      <w:pPr>
        <w:numPr>
          <w:ilvl w:val="0"/>
          <w:numId w:val="1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командированными;</w:t>
      </w:r>
    </w:p>
    <w:p w:rsidR="00000000" w:rsidRDefault="007B1E84">
      <w:pPr>
        <w:numPr>
          <w:ilvl w:val="0"/>
          <w:numId w:val="1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иными лицами, которые осуществляют трудовую деятельность в организации, по решению работодателя</w:t>
      </w:r>
      <w:r>
        <w:rPr>
          <w:rFonts w:eastAsia="Times New Roman"/>
        </w:rPr>
        <w:t>;</w:t>
      </w:r>
    </w:p>
    <w:p w:rsidR="00000000" w:rsidRDefault="007B1E84">
      <w:pPr>
        <w:numPr>
          <w:ilvl w:val="0"/>
          <w:numId w:val="1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работниками, которых перевели из другого подразделения;</w:t>
      </w:r>
    </w:p>
    <w:p w:rsidR="00000000" w:rsidRDefault="007B1E84">
      <w:pPr>
        <w:numPr>
          <w:ilvl w:val="0"/>
          <w:numId w:val="1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работниками, которым поручили новые трудовые обязанности.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Заказчик определяет, проводить ли противопожарные инструктажи работникам подрядных и субподрядных организаций </w:t>
      </w:r>
      <w:r>
        <w:t>(</w:t>
      </w:r>
      <w:hyperlink r:id="rId9" w:anchor="/document/99/727122310/ZAP29J03LD/" w:tgtFrame="_self" w:tooltip="" w:history="1">
        <w:r>
          <w:rPr>
            <w:rStyle w:val="a3"/>
          </w:rPr>
          <w:t>п. 13 Порядка № 806</w:t>
        </w:r>
      </w:hyperlink>
      <w:r>
        <w:t>).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 xml:space="preserve">3. Как </w:t>
      </w:r>
      <w:r>
        <w:rPr>
          <w:rStyle w:val="a6"/>
        </w:rPr>
        <w:t xml:space="preserve">внести изменения в Нормы выдачи </w:t>
      </w:r>
      <w:proofErr w:type="gramStart"/>
      <w:r>
        <w:rPr>
          <w:rStyle w:val="a6"/>
        </w:rPr>
        <w:t>СИЗ</w:t>
      </w:r>
      <w:proofErr w:type="gramEnd"/>
      <w:r>
        <w:rPr>
          <w:rStyle w:val="a6"/>
        </w:rPr>
        <w:t xml:space="preserve"> работодателя?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Работодатель самостоятельно определяет, как </w:t>
      </w:r>
      <w:proofErr w:type="gramStart"/>
      <w:r>
        <w:t>актуализировать Нормы выдачи СИЗ</w:t>
      </w:r>
      <w:proofErr w:type="gramEnd"/>
      <w:r>
        <w:t xml:space="preserve">, требования законодательно не установлены </w:t>
      </w:r>
      <w:r>
        <w:t>(</w:t>
      </w:r>
      <w:hyperlink r:id="rId10" w:anchor="/document/99/727092798/XA00M6Q2MH/" w:tgtFrame="_self" w:tooltip="" w:history="1">
        <w:r>
          <w:rPr>
            <w:rStyle w:val="a3"/>
          </w:rPr>
          <w:t>п. 19 Правил № 766н</w:t>
        </w:r>
      </w:hyperlink>
      <w:r>
        <w:t>). Если изменений много, рекомендуем полностью пересмотреть Нормы и заново утвердить их. Если же требуются незначительные корректировки, будет достаточно приказа.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4. Нужно ли проводить инструктаж на рабочем месте по оказанию первой помощи, если работник не обучен по</w:t>
      </w:r>
      <w:r>
        <w:rPr>
          <w:rStyle w:val="a6"/>
        </w:rPr>
        <w:t xml:space="preserve"> программе ОПП?</w:t>
      </w:r>
    </w:p>
    <w:p w:rsidR="00000000" w:rsidRDefault="007B1E84">
      <w:pPr>
        <w:pStyle w:val="a5"/>
        <w:spacing w:line="276" w:lineRule="auto"/>
        <w:divId w:val="718482949"/>
      </w:pPr>
      <w:r>
        <w:t>Нет, не нужно.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Отдельный инструктаж по оказанию первой помощи не требуется. Проведите инструктаж по охране труда работникам, для которых он положен в организации, независимо от </w:t>
      </w:r>
      <w:proofErr w:type="gramStart"/>
      <w:r>
        <w:lastRenderedPageBreak/>
        <w:t>обучения по программе</w:t>
      </w:r>
      <w:proofErr w:type="gramEnd"/>
      <w:r>
        <w:t xml:space="preserve"> ОПП. Инструктаж на рабочем месте должен с</w:t>
      </w:r>
      <w:r>
        <w:t xml:space="preserve">одержать вопросы первой помощи </w:t>
      </w:r>
      <w:r>
        <w:t>(</w:t>
      </w:r>
      <w:hyperlink r:id="rId11" w:anchor="/document/99/727688582/XA00MB42NC/" w:tgtFrame="_self" w:tooltip="" w:history="1">
        <w:r>
          <w:rPr>
            <w:rStyle w:val="a3"/>
          </w:rPr>
          <w:t>п. 18 Порядка № 2464</w:t>
        </w:r>
      </w:hyperlink>
      <w:r>
        <w:t>).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 xml:space="preserve">5. Должен ли работник заново проходить </w:t>
      </w:r>
      <w:proofErr w:type="spellStart"/>
      <w:r>
        <w:rPr>
          <w:rStyle w:val="a6"/>
        </w:rPr>
        <w:t>психосвидетельствование</w:t>
      </w:r>
      <w:proofErr w:type="spellEnd"/>
      <w:r>
        <w:rPr>
          <w:rStyle w:val="a6"/>
        </w:rPr>
        <w:t xml:space="preserve"> при трудоустройстве, если он уже проходил обследование в предыдущей организации </w:t>
      </w:r>
      <w:proofErr w:type="gramStart"/>
      <w:r>
        <w:rPr>
          <w:rStyle w:val="a6"/>
        </w:rPr>
        <w:t>по</w:t>
      </w:r>
      <w:proofErr w:type="gramEnd"/>
      <w:r>
        <w:rPr>
          <w:rStyle w:val="a6"/>
        </w:rPr>
        <w:t xml:space="preserve"> тому же виду работ?</w:t>
      </w:r>
    </w:p>
    <w:p w:rsidR="00000000" w:rsidRDefault="007B1E84">
      <w:pPr>
        <w:pStyle w:val="a5"/>
        <w:spacing w:line="276" w:lineRule="auto"/>
        <w:divId w:val="718482949"/>
      </w:pPr>
      <w:r>
        <w:t>Нет, не должен.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Не проводите </w:t>
      </w:r>
      <w:proofErr w:type="spellStart"/>
      <w:r>
        <w:t>психос</w:t>
      </w:r>
      <w:r>
        <w:t>видетельствование</w:t>
      </w:r>
      <w:proofErr w:type="spellEnd"/>
      <w:r>
        <w:t xml:space="preserve">, если соблюдены оба условия </w:t>
      </w:r>
      <w:r>
        <w:t>(</w:t>
      </w:r>
      <w:hyperlink r:id="rId12" w:anchor="/document/99/350505360/XA00M3G2M3/" w:tgtFrame="_self" w:tooltip="" w:history="1">
        <w:r>
          <w:rPr>
            <w:rStyle w:val="a3"/>
          </w:rPr>
          <w:t>п. 5 Порядка № 342н</w:t>
        </w:r>
      </w:hyperlink>
      <w:r>
        <w:t>):</w:t>
      </w:r>
    </w:p>
    <w:p w:rsidR="00000000" w:rsidRDefault="007B1E84">
      <w:pPr>
        <w:numPr>
          <w:ilvl w:val="0"/>
          <w:numId w:val="2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работник проходил освидетельствование по этому виду деятельности не более двух лет назад;</w:t>
      </w:r>
    </w:p>
    <w:p w:rsidR="00000000" w:rsidRDefault="007B1E84">
      <w:pPr>
        <w:numPr>
          <w:ilvl w:val="0"/>
          <w:numId w:val="2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по с</w:t>
      </w:r>
      <w:r>
        <w:rPr>
          <w:rFonts w:eastAsia="Times New Roman"/>
        </w:rPr>
        <w:t>остоянию психического здоровья работник был пригоден.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Дополнительно проведут освидетельствование, если у работника выявят отклонения при медосмотре </w:t>
      </w:r>
      <w:r>
        <w:t>(</w:t>
      </w:r>
      <w:hyperlink r:id="rId13" w:anchor="/document/99/573473070/XA00M2O2MB/" w:tgtFrame="_self" w:tooltip="" w:history="1">
        <w:r>
          <w:rPr>
            <w:rStyle w:val="a3"/>
          </w:rPr>
          <w:t xml:space="preserve">п. 41 Порядка </w:t>
        </w:r>
        <w:r>
          <w:rPr>
            <w:rStyle w:val="a3"/>
          </w:rPr>
          <w:t>№ 29н</w:t>
        </w:r>
      </w:hyperlink>
      <w:r>
        <w:t>).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 xml:space="preserve">6. Нужно ли соискателю повторно проходить предварительный медосмотр, если он решил </w:t>
      </w:r>
      <w:r>
        <w:rPr>
          <w:rStyle w:val="a6"/>
        </w:rPr>
        <w:t>трудоустроиться через шесть месяцев после его прохождения?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Работодатель обязан отправить сотрудника на предварительный медосмотр при поступлении на работу </w:t>
      </w:r>
      <w:r>
        <w:t>(</w:t>
      </w:r>
      <w:hyperlink r:id="rId14" w:anchor="/document/99/901807664/ZAP2CUS3F2/" w:tgtFrame="_self" w:tooltip="" w:history="1">
        <w:r>
          <w:rPr>
            <w:rStyle w:val="a3"/>
          </w:rPr>
          <w:t>ст. 214</w:t>
        </w:r>
        <w:r>
          <w:rPr>
            <w:rStyle w:val="a3"/>
          </w:rPr>
          <w:t xml:space="preserve"> Т</w:t>
        </w:r>
        <w:r>
          <w:rPr>
            <w:rStyle w:val="a3"/>
          </w:rPr>
          <w:t>К</w:t>
        </w:r>
      </w:hyperlink>
      <w:r>
        <w:t>). Если работник прошел медосмотр за шесть месяцев до подписания трудового договора, у проверяющих органов могут возникнуть вопросы, почему процедура пройдена настолько заранее. Кроме того, за эти шесть месяцев работник мог получить заболевания или трав</w:t>
      </w:r>
      <w:r>
        <w:t>мы,</w:t>
      </w:r>
      <w:r>
        <w:t xml:space="preserve"> </w:t>
      </w:r>
      <w:r>
        <w:t>которые будут противопоказанием к выполнению работы</w:t>
      </w:r>
      <w:r>
        <w:t>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 xml:space="preserve">7. Надо ли проводить оценку </w:t>
      </w:r>
      <w:proofErr w:type="spellStart"/>
      <w:r>
        <w:rPr>
          <w:rStyle w:val="a6"/>
        </w:rPr>
        <w:t>профрисков</w:t>
      </w:r>
      <w:proofErr w:type="spellEnd"/>
      <w:r>
        <w:rPr>
          <w:rStyle w:val="a6"/>
        </w:rPr>
        <w:t xml:space="preserve"> на рабочих местах </w:t>
      </w:r>
      <w:proofErr w:type="spellStart"/>
      <w:r>
        <w:rPr>
          <w:rStyle w:val="a6"/>
        </w:rPr>
        <w:t>удаленщиков</w:t>
      </w:r>
      <w:proofErr w:type="spellEnd"/>
      <w:r>
        <w:rPr>
          <w:rStyle w:val="a6"/>
        </w:rPr>
        <w:t>?</w:t>
      </w:r>
    </w:p>
    <w:p w:rsidR="00000000" w:rsidRDefault="007B1E84">
      <w:pPr>
        <w:pStyle w:val="a5"/>
        <w:spacing w:line="276" w:lineRule="auto"/>
        <w:divId w:val="718482949"/>
      </w:pPr>
      <w:r>
        <w:t>Зависит от ситуации.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Работодатель проводит оценку </w:t>
      </w:r>
      <w:proofErr w:type="spellStart"/>
      <w:r>
        <w:t>профрисков</w:t>
      </w:r>
      <w:proofErr w:type="spellEnd"/>
      <w:r>
        <w:t xml:space="preserve"> на рабочих местах дистанционных работников, если:</w:t>
      </w:r>
    </w:p>
    <w:p w:rsidR="00000000" w:rsidRDefault="007B1E84">
      <w:pPr>
        <w:numPr>
          <w:ilvl w:val="0"/>
          <w:numId w:val="3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 xml:space="preserve">в трудовом договоре работника или ЛНА организации прописаны дополнительные </w:t>
      </w:r>
      <w:r>
        <w:rPr>
          <w:rFonts w:eastAsia="Times New Roman"/>
        </w:rPr>
        <w:t xml:space="preserve">процедуры по охране труда для </w:t>
      </w:r>
      <w:proofErr w:type="spellStart"/>
      <w:r>
        <w:rPr>
          <w:rFonts w:eastAsia="Times New Roman"/>
        </w:rPr>
        <w:t>удаленщиков</w:t>
      </w:r>
      <w:proofErr w:type="spellEnd"/>
      <w:r>
        <w:rPr>
          <w:rFonts w:eastAsia="Times New Roman"/>
        </w:rPr>
        <w:t xml:space="preserve">, например инструктажи, медосмотры, оценка </w:t>
      </w:r>
      <w:proofErr w:type="spellStart"/>
      <w:r>
        <w:rPr>
          <w:rFonts w:eastAsia="Times New Roman"/>
        </w:rPr>
        <w:t>профрисков</w:t>
      </w:r>
      <w:proofErr w:type="spellEnd"/>
      <w:r>
        <w:rPr>
          <w:rFonts w:eastAsia="Times New Roman"/>
        </w:rPr>
        <w:t>;</w:t>
      </w:r>
    </w:p>
    <w:p w:rsidR="00000000" w:rsidRDefault="007B1E84">
      <w:pPr>
        <w:numPr>
          <w:ilvl w:val="0"/>
          <w:numId w:val="3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работодатель выдал работнику специализированное оборудование, например реактивы или инструмент.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В остальных случаях работодатель обязан выполнять только четыре </w:t>
      </w:r>
      <w:r>
        <w:t>обязанности по охране труда дистанционных работников:</w:t>
      </w:r>
    </w:p>
    <w:p w:rsidR="00000000" w:rsidRDefault="007B1E84">
      <w:pPr>
        <w:numPr>
          <w:ilvl w:val="0"/>
          <w:numId w:val="4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lastRenderedPageBreak/>
        <w:t xml:space="preserve">Ознакомить дистанционного работника с требованиями охраны труда при работе с оборудованием и средствами, которые работодатель рекомендовал или выдал для работы </w:t>
      </w:r>
      <w:r>
        <w:rPr>
          <w:rFonts w:eastAsia="Times New Roman"/>
        </w:rPr>
        <w:t>(</w:t>
      </w:r>
      <w:hyperlink r:id="rId15" w:anchor="/document/99/901807664/XA00MAK2NB/" w:tgtFrame="_self" w:tooltip="" w:history="1">
        <w:r>
          <w:rPr>
            <w:rStyle w:val="a3"/>
            <w:rFonts w:eastAsia="Times New Roman"/>
          </w:rPr>
          <w:t>ст. 312.7 ТК</w:t>
        </w:r>
      </w:hyperlink>
      <w:r>
        <w:rPr>
          <w:rFonts w:eastAsia="Times New Roman"/>
        </w:rPr>
        <w:t>).</w:t>
      </w:r>
    </w:p>
    <w:p w:rsidR="00000000" w:rsidRDefault="007B1E84">
      <w:pPr>
        <w:numPr>
          <w:ilvl w:val="0"/>
          <w:numId w:val="4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 xml:space="preserve">Расследовать и вести учет несчастных случаев и профессиональных заболеваний </w:t>
      </w: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"https://1otruda.ru/" \l "/document/99/901807664/ZAP1UUS38S/" \o "" \t "_self"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</w:rPr>
        <w:t>абз</w:t>
      </w:r>
      <w:proofErr w:type="spellEnd"/>
      <w:r>
        <w:rPr>
          <w:rStyle w:val="a3"/>
          <w:rFonts w:eastAsia="Times New Roman"/>
        </w:rPr>
        <w:t>. 18 ч. 3 ст. 21</w:t>
      </w:r>
      <w:r>
        <w:rPr>
          <w:rStyle w:val="a3"/>
          <w:rFonts w:eastAsia="Times New Roman"/>
        </w:rPr>
        <w:t>4 ТК</w:t>
      </w:r>
      <w:r>
        <w:rPr>
          <w:rFonts w:eastAsia="Times New Roman"/>
        </w:rPr>
        <w:fldChar w:fldCharType="end"/>
      </w:r>
      <w:r>
        <w:rPr>
          <w:rFonts w:eastAsia="Times New Roman"/>
        </w:rPr>
        <w:t>).</w:t>
      </w:r>
    </w:p>
    <w:p w:rsidR="00000000" w:rsidRDefault="007B1E84">
      <w:pPr>
        <w:numPr>
          <w:ilvl w:val="0"/>
          <w:numId w:val="4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 xml:space="preserve">Выполнять предписания ГИТ и рассматривать представления органов общественного контроля </w:t>
      </w: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"https://1otruda.ru/" \l "/document/99/901807664/ZAP2FIK3LK/" \o "" \t "_self"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</w:rPr>
        <w:t>абз</w:t>
      </w:r>
      <w:proofErr w:type="spellEnd"/>
      <w:r>
        <w:rPr>
          <w:rStyle w:val="a3"/>
          <w:rFonts w:eastAsia="Times New Roman"/>
        </w:rPr>
        <w:t>. 21 ч. 3 ст. 214 ТК</w:t>
      </w:r>
      <w:r>
        <w:rPr>
          <w:rFonts w:eastAsia="Times New Roman"/>
        </w:rPr>
        <w:fldChar w:fldCharType="end"/>
      </w:r>
      <w:r>
        <w:rPr>
          <w:rFonts w:eastAsia="Times New Roman"/>
        </w:rPr>
        <w:t>).</w:t>
      </w:r>
    </w:p>
    <w:p w:rsidR="00000000" w:rsidRDefault="007B1E84">
      <w:pPr>
        <w:numPr>
          <w:ilvl w:val="0"/>
          <w:numId w:val="4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Обеспечивать обязательное социальное страх</w:t>
      </w:r>
      <w:r>
        <w:rPr>
          <w:rFonts w:eastAsia="Times New Roman"/>
        </w:rPr>
        <w:t xml:space="preserve">ование </w:t>
      </w: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instrText>HYPERLINK "https://1otruda.ru/" \l "/document/99/901807664/ZAP2FLA3HB/" \o "" \t "_self"</w:instrText>
      </w:r>
      <w:r>
        <w:rPr>
          <w:rFonts w:eastAsia="Times New Roman"/>
        </w:rPr>
        <w:instrText xml:space="preserve"> </w:instrText>
      </w:r>
      <w:r>
        <w:rPr>
          <w:rFonts w:eastAsia="Times New Roman"/>
        </w:rPr>
        <w:fldChar w:fldCharType="separate"/>
      </w:r>
      <w:r>
        <w:rPr>
          <w:rStyle w:val="a3"/>
          <w:rFonts w:eastAsia="Times New Roman"/>
        </w:rPr>
        <w:t>абз</w:t>
      </w:r>
      <w:proofErr w:type="spellEnd"/>
      <w:r>
        <w:rPr>
          <w:rStyle w:val="a3"/>
          <w:rFonts w:eastAsia="Times New Roman"/>
        </w:rPr>
        <w:t>. 22 ч. 3 ст. 214 ТК</w:t>
      </w:r>
      <w:r>
        <w:rPr>
          <w:rFonts w:eastAsia="Times New Roman"/>
        </w:rPr>
        <w:fldChar w:fldCharType="end"/>
      </w:r>
      <w:r>
        <w:rPr>
          <w:rFonts w:eastAsia="Times New Roman"/>
        </w:rPr>
        <w:t>).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8. Можно ли направить работника на обучение по программам ОПП и применению </w:t>
      </w:r>
      <w:proofErr w:type="gramStart"/>
      <w:r>
        <w:rPr>
          <w:rStyle w:val="a6"/>
        </w:rPr>
        <w:t>СИЗ</w:t>
      </w:r>
      <w:proofErr w:type="gramEnd"/>
      <w:r>
        <w:rPr>
          <w:rStyle w:val="a6"/>
        </w:rPr>
        <w:t xml:space="preserve"> после прохождения стажировки?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Законом не урегулировали, когда обучать работника оказанию первой помощи и применению </w:t>
      </w:r>
      <w:proofErr w:type="gramStart"/>
      <w:r>
        <w:t>СИЗ</w:t>
      </w:r>
      <w:proofErr w:type="gramEnd"/>
      <w:r>
        <w:t xml:space="preserve"> – до или после стажировки</w:t>
      </w:r>
      <w:r>
        <w:t>.</w:t>
      </w:r>
    </w:p>
    <w:p w:rsidR="00000000" w:rsidRDefault="007B1E84">
      <w:pPr>
        <w:pStyle w:val="a5"/>
        <w:spacing w:line="276" w:lineRule="auto"/>
        <w:divId w:val="718482949"/>
      </w:pPr>
      <w:r>
        <w:t>Работодатель допускает сотрудника к стажировке после инструктажа по охране труда и обучения по программам</w:t>
      </w:r>
      <w:proofErr w:type="gramStart"/>
      <w:r>
        <w:t xml:space="preserve"> А</w:t>
      </w:r>
      <w:proofErr w:type="gramEnd"/>
      <w:r>
        <w:t>,</w:t>
      </w:r>
      <w:r>
        <w:t xml:space="preserve"> Б, В </w:t>
      </w:r>
      <w:r>
        <w:t>(</w:t>
      </w:r>
      <w:hyperlink r:id="rId16" w:anchor="/document/99/727688582/XA00M4E2MK/" w:tgtFrame="_self" w:tooltip="" w:history="1">
        <w:r>
          <w:rPr>
            <w:rStyle w:val="a3"/>
          </w:rPr>
          <w:t>п. 25 Порядка № 2464</w:t>
        </w:r>
      </w:hyperlink>
      <w:r>
        <w:t>). Поэтому организация вправе направить работника на обучение по программам ОПП и применению </w:t>
      </w:r>
      <w:proofErr w:type="gramStart"/>
      <w:r>
        <w:t>СИЗ</w:t>
      </w:r>
      <w:proofErr w:type="gramEnd"/>
      <w:r>
        <w:t xml:space="preserve"> после стажировки.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Рекомендуем провести </w:t>
      </w:r>
      <w:r>
        <w:t>все виды обучения, которые положены работнику, до стажировки. Тогда после успешного прохождения всех процедур, его уже можно будет допустить к работе.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9. Какая ответственность грозит за неправильное оформление журналов по регистрации инструктажей на рабочем месте</w:t>
      </w:r>
      <w:r>
        <w:rPr>
          <w:rStyle w:val="a6"/>
        </w:rPr>
        <w:t>?</w:t>
      </w:r>
    </w:p>
    <w:p w:rsidR="00000000" w:rsidRDefault="007B1E84">
      <w:pPr>
        <w:pStyle w:val="a5"/>
        <w:spacing w:line="276" w:lineRule="auto"/>
        <w:divId w:val="718482949"/>
      </w:pPr>
      <w:r>
        <w:t>Работодатель не обязан оформлять именно журналы по регистрации инструктажей на рабочем мес</w:t>
      </w:r>
      <w:r>
        <w:t xml:space="preserve">те. Он самостоятельно выбирает форму учета, например карточки регистрации, электронный журнал </w:t>
      </w:r>
      <w:r>
        <w:t>(</w:t>
      </w:r>
      <w:hyperlink r:id="rId17" w:anchor="/document/99/727688582/XA00MCU2N4/" w:tgtFrame="_self" w:tooltip="" w:history="1">
        <w:r>
          <w:rPr>
            <w:rStyle w:val="a3"/>
          </w:rPr>
          <w:t>п. 88 Порядка № 2464</w:t>
        </w:r>
      </w:hyperlink>
      <w:r>
        <w:t xml:space="preserve">). Форма регистрации должна содержать </w:t>
      </w:r>
      <w:r>
        <w:t>(</w:t>
      </w:r>
      <w:hyperlink r:id="rId18" w:anchor="/document/99/727688582/XA00MBA2MS/" w:tgtFrame="_self" w:tooltip="" w:history="1">
        <w:r>
          <w:rPr>
            <w:rStyle w:val="a3"/>
          </w:rPr>
          <w:t>п. 87 Порядка № 2464</w:t>
        </w:r>
      </w:hyperlink>
      <w:r>
        <w:t>):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дату проведения инструктажа;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Ф. И. О., должность, дату рождения работника, который прошел инструктаж;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вид инструктажа;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причину проведения инструктажа</w:t>
      </w:r>
      <w:r>
        <w:rPr>
          <w:rFonts w:eastAsia="Times New Roman"/>
        </w:rPr>
        <w:t>, если он целевой или внеплановый;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Ф. И. О. и должность работника, который провел инструктаж;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наименование ЛНА, в объеме требований которого проведен инструктаж;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подпись работника, который провел инструктаж;</w:t>
      </w:r>
    </w:p>
    <w:p w:rsidR="00000000" w:rsidRDefault="007B1E84">
      <w:pPr>
        <w:numPr>
          <w:ilvl w:val="0"/>
          <w:numId w:val="5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подпись работника, который прошел инструктаж.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Если не указать данную информацию, инспектор посчитает это нарушением. За это нарушение предусмотрена административная ответственность </w:t>
      </w:r>
      <w:r>
        <w:t>(</w:t>
      </w:r>
      <w:hyperlink r:id="rId19" w:anchor="/document/99/901807667/XA00MHM2OG/" w:tgtFrame="_self" w:tooltip="" w:history="1">
        <w:r>
          <w:rPr>
            <w:rStyle w:val="a3"/>
          </w:rPr>
          <w:t>ч. 1 ст. 5.27.1 КоАП</w:t>
        </w:r>
      </w:hyperlink>
      <w:r>
        <w:t>):</w:t>
      </w:r>
    </w:p>
    <w:p w:rsidR="00000000" w:rsidRDefault="007B1E84">
      <w:pPr>
        <w:numPr>
          <w:ilvl w:val="0"/>
          <w:numId w:val="6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lastRenderedPageBreak/>
        <w:t>руко</w:t>
      </w:r>
      <w:r>
        <w:rPr>
          <w:rFonts w:eastAsia="Times New Roman"/>
        </w:rPr>
        <w:t>водителю организации – предупреждение или штраф от 2000 до 5000 руб.;</w:t>
      </w:r>
    </w:p>
    <w:p w:rsidR="00000000" w:rsidRDefault="007B1E84">
      <w:pPr>
        <w:numPr>
          <w:ilvl w:val="0"/>
          <w:numId w:val="6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предпринимателю – предупреждение или штраф от 2000 до 5000 руб.;</w:t>
      </w:r>
    </w:p>
    <w:p w:rsidR="00000000" w:rsidRDefault="007B1E84">
      <w:pPr>
        <w:numPr>
          <w:ilvl w:val="0"/>
          <w:numId w:val="6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организации – предупреждение или штраф от 50 000 до 80 000 руб.</w:t>
      </w:r>
    </w:p>
    <w:p w:rsidR="00000000" w:rsidRDefault="007B1E84">
      <w:pPr>
        <w:pStyle w:val="a5"/>
        <w:spacing w:line="276" w:lineRule="auto"/>
        <w:divId w:val="718482949"/>
      </w:pPr>
      <w:r>
        <w:rPr>
          <w:rStyle w:val="a6"/>
        </w:rPr>
        <w:t>10. Какую группу по электробезопасности должны иметь сотрудники, которые работают с ручным электроинструментом, и какое дополн</w:t>
      </w:r>
      <w:r>
        <w:rPr>
          <w:rStyle w:val="a6"/>
        </w:rPr>
        <w:t xml:space="preserve">ительное обучение </w:t>
      </w:r>
      <w:proofErr w:type="gramStart"/>
      <w:r>
        <w:rPr>
          <w:rStyle w:val="a6"/>
        </w:rPr>
        <w:t>по</w:t>
      </w:r>
      <w:proofErr w:type="gramEnd"/>
      <w:r>
        <w:rPr>
          <w:rStyle w:val="a6"/>
        </w:rPr>
        <w:t xml:space="preserve"> ОТ им требуется?</w:t>
      </w:r>
    </w:p>
    <w:p w:rsidR="00000000" w:rsidRDefault="007B1E84">
      <w:pPr>
        <w:pStyle w:val="a5"/>
        <w:spacing w:line="276" w:lineRule="auto"/>
        <w:divId w:val="718482949"/>
      </w:pPr>
      <w:r>
        <w:t xml:space="preserve">Если работник использует ручной электроинструмент, присвойте ему 2-ю группу по электробезопасности </w:t>
      </w:r>
      <w:r>
        <w:t>(</w:t>
      </w:r>
      <w:hyperlink r:id="rId20" w:anchor="/document/99/573264184/XA00M8G2N0/" w:tgtFrame="_self" w:tooltip="" w:history="1">
        <w:r>
          <w:rPr>
            <w:rStyle w:val="a3"/>
          </w:rPr>
          <w:t>п. 2.3 ПОТ № 903н</w:t>
        </w:r>
      </w:hyperlink>
      <w:r>
        <w:t>).</w:t>
      </w:r>
    </w:p>
    <w:p w:rsidR="00000000" w:rsidRDefault="007B1E84">
      <w:pPr>
        <w:pStyle w:val="a5"/>
        <w:spacing w:line="276" w:lineRule="auto"/>
        <w:divId w:val="718482949"/>
      </w:pPr>
      <w:r>
        <w:t>Работ</w:t>
      </w:r>
      <w:r>
        <w:t>ники рабочих профессий обязательно проходят обучение по программам</w:t>
      </w:r>
      <w:proofErr w:type="gramStart"/>
      <w:r>
        <w:t> Б</w:t>
      </w:r>
      <w:proofErr w:type="gramEnd"/>
      <w:r>
        <w:t xml:space="preserve"> и оказанию первой помощи </w:t>
      </w:r>
      <w:r>
        <w:t>(</w:t>
      </w:r>
      <w:hyperlink r:id="rId21" w:anchor="/document/99/727688582/XA00MDM2NR/" w:tgtFrame="_self" w:tooltip="" w:history="1">
        <w:r>
          <w:rPr>
            <w:rStyle w:val="a3"/>
          </w:rPr>
          <w:t>подп. «д»</w:t>
        </w:r>
      </w:hyperlink>
      <w:r>
        <w:t xml:space="preserve"> п. 53,</w:t>
      </w:r>
      <w:r>
        <w:t xml:space="preserve"> </w:t>
      </w:r>
      <w:hyperlink r:id="rId22" w:anchor="/document/99/727688582/XA00M7Q2N3/" w:tgtFrame="_self" w:tooltip="" w:history="1">
        <w:r>
          <w:rPr>
            <w:rStyle w:val="a3"/>
          </w:rPr>
          <w:t>подп. «б»</w:t>
        </w:r>
      </w:hyperlink>
      <w:r>
        <w:t> п. 33 Порядка № 2464).</w:t>
      </w:r>
      <w:r>
        <w:t xml:space="preserve"> </w:t>
      </w:r>
      <w:r>
        <w:t xml:space="preserve">Дополнительное </w:t>
      </w:r>
      <w:proofErr w:type="gramStart"/>
      <w:r>
        <w:t>обучение по охране</w:t>
      </w:r>
      <w:proofErr w:type="gramEnd"/>
      <w:r>
        <w:t xml:space="preserve"> труда может потребоваться, если работник</w:t>
      </w:r>
      <w:r>
        <w:t>:</w:t>
      </w:r>
    </w:p>
    <w:p w:rsidR="00000000" w:rsidRDefault="007B1E84">
      <w:pPr>
        <w:numPr>
          <w:ilvl w:val="0"/>
          <w:numId w:val="7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 xml:space="preserve">применяет </w:t>
      </w:r>
      <w:proofErr w:type="gramStart"/>
      <w:r>
        <w:rPr>
          <w:rFonts w:eastAsia="Times New Roman"/>
        </w:rPr>
        <w:t>СИЗ</w:t>
      </w:r>
      <w:proofErr w:type="gramEnd"/>
      <w:r>
        <w:rPr>
          <w:rFonts w:eastAsia="Times New Roman"/>
        </w:rPr>
        <w:t>, которые требуют практических навыков, – программа по использованию СИЗ </w:t>
      </w:r>
      <w:r>
        <w:rPr>
          <w:rFonts w:eastAsia="Times New Roman"/>
        </w:rPr>
        <w:t>(</w:t>
      </w:r>
      <w:hyperlink r:id="rId23" w:anchor="/document/99/727688582/XA00M342MB/" w:tgtFrame="_self" w:tooltip="" w:history="1">
        <w:r>
          <w:rPr>
            <w:rStyle w:val="a3"/>
            <w:rFonts w:eastAsia="Times New Roman"/>
          </w:rPr>
          <w:t>п. 38 Порядка № 2464</w:t>
        </w:r>
      </w:hyperlink>
      <w:r>
        <w:rPr>
          <w:rFonts w:eastAsia="Times New Roman"/>
        </w:rPr>
        <w:t>);</w:t>
      </w:r>
    </w:p>
    <w:p w:rsidR="007B1E84" w:rsidRDefault="007B1E84">
      <w:pPr>
        <w:numPr>
          <w:ilvl w:val="0"/>
          <w:numId w:val="7"/>
        </w:numPr>
        <w:spacing w:after="103" w:line="276" w:lineRule="auto"/>
        <w:divId w:val="718482949"/>
        <w:rPr>
          <w:rFonts w:eastAsia="Times New Roman"/>
        </w:rPr>
      </w:pPr>
      <w:r>
        <w:rPr>
          <w:rFonts w:eastAsia="Times New Roman"/>
        </w:rPr>
        <w:t>выполняет работы повышенной опасности – программа</w:t>
      </w:r>
      <w:proofErr w:type="gramStart"/>
      <w:r>
        <w:rPr>
          <w:rFonts w:eastAsia="Times New Roman"/>
        </w:rPr>
        <w:t xml:space="preserve"> В</w:t>
      </w:r>
      <w:proofErr w:type="gramEnd"/>
      <w:r>
        <w:rPr>
          <w:rFonts w:eastAsia="Times New Roman"/>
        </w:rPr>
        <w:t> </w:t>
      </w:r>
      <w:r>
        <w:rPr>
          <w:rFonts w:eastAsia="Times New Roman"/>
        </w:rPr>
        <w:t>(</w:t>
      </w:r>
      <w:hyperlink r:id="rId24" w:anchor="/document/99/727688582/XA00M722MT/" w:tgtFrame="_self" w:tooltip="" w:history="1">
        <w:r>
          <w:rPr>
            <w:rStyle w:val="a3"/>
            <w:rFonts w:eastAsia="Times New Roman"/>
          </w:rPr>
          <w:t>подп. «в» п. 46 Порядка № 2464</w:t>
        </w:r>
      </w:hyperlink>
      <w:r>
        <w:rPr>
          <w:rFonts w:eastAsia="Times New Roman"/>
        </w:rPr>
        <w:t>).</w:t>
      </w:r>
      <w:bookmarkStart w:id="0" w:name="_GoBack"/>
      <w:bookmarkEnd w:id="0"/>
    </w:p>
    <w:sectPr w:rsidR="007B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1E4"/>
    <w:multiLevelType w:val="multilevel"/>
    <w:tmpl w:val="1AA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933F2"/>
    <w:multiLevelType w:val="multilevel"/>
    <w:tmpl w:val="1F4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B6AE3"/>
    <w:multiLevelType w:val="multilevel"/>
    <w:tmpl w:val="BDE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A6434"/>
    <w:multiLevelType w:val="multilevel"/>
    <w:tmpl w:val="FA52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43C33"/>
    <w:multiLevelType w:val="multilevel"/>
    <w:tmpl w:val="73FE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34C0E"/>
    <w:multiLevelType w:val="multilevel"/>
    <w:tmpl w:val="F236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416A4"/>
    <w:multiLevelType w:val="multilevel"/>
    <w:tmpl w:val="7288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3F7E"/>
    <w:rsid w:val="005A3F7E"/>
    <w:rsid w:val="007B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3F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F7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3F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F7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07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94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7200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1F8E326-434F-41FE-9FBE-575497FD12AC}"/>
</file>

<file path=customXml/itemProps2.xml><?xml version="1.0" encoding="utf-8"?>
<ds:datastoreItem xmlns:ds="http://schemas.openxmlformats.org/officeDocument/2006/customXml" ds:itemID="{0C33888B-3363-4F23-92A5-D936C55C61B7}"/>
</file>

<file path=customXml/itemProps3.xml><?xml version="1.0" encoding="utf-8"?>
<ds:datastoreItem xmlns:ds="http://schemas.openxmlformats.org/officeDocument/2006/customXml" ds:itemID="{7464F138-75BB-4020-AB7B-A4743F64A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Дамашева Светлана Геннадьевн</dc:creator>
  <cp:lastModifiedBy>Дамашева Светлана Геннадьевн</cp:lastModifiedBy>
  <cp:revision>2</cp:revision>
  <dcterms:created xsi:type="dcterms:W3CDTF">2025-03-28T10:55:00Z</dcterms:created>
  <dcterms:modified xsi:type="dcterms:W3CDTF">2025-03-28T10:55:00Z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